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1BBADC" w14:textId="77777777" w:rsidR="005D4AA0" w:rsidRDefault="005D4AA0" w:rsidP="007E484D">
      <w:pPr>
        <w:spacing w:after="0" w:line="480" w:lineRule="auto"/>
        <w:jc w:val="center"/>
        <w:rPr>
          <w:rFonts w:ascii="Times New Roman" w:hAnsi="Times New Roman" w:cs="Times New Roman"/>
          <w:b/>
          <w:bCs/>
          <w:sz w:val="24"/>
          <w:szCs w:val="24"/>
        </w:rPr>
      </w:pPr>
    </w:p>
    <w:p w14:paraId="4A2BECB5" w14:textId="77777777" w:rsidR="005D4AA0" w:rsidRDefault="005D4AA0" w:rsidP="007E484D">
      <w:pPr>
        <w:spacing w:after="0" w:line="480" w:lineRule="auto"/>
        <w:jc w:val="center"/>
        <w:rPr>
          <w:rFonts w:ascii="Times New Roman" w:hAnsi="Times New Roman" w:cs="Times New Roman"/>
          <w:b/>
          <w:bCs/>
          <w:sz w:val="24"/>
          <w:szCs w:val="24"/>
        </w:rPr>
      </w:pPr>
    </w:p>
    <w:p w14:paraId="2493E2B0" w14:textId="77777777" w:rsidR="005D4AA0" w:rsidRDefault="005D4AA0" w:rsidP="007E484D">
      <w:pPr>
        <w:spacing w:after="0" w:line="480" w:lineRule="auto"/>
        <w:jc w:val="center"/>
        <w:rPr>
          <w:rFonts w:ascii="Times New Roman" w:hAnsi="Times New Roman" w:cs="Times New Roman"/>
          <w:b/>
          <w:bCs/>
          <w:sz w:val="24"/>
          <w:szCs w:val="24"/>
        </w:rPr>
      </w:pPr>
    </w:p>
    <w:p w14:paraId="4AC639C8" w14:textId="77777777" w:rsidR="005D4AA0" w:rsidRDefault="005D4AA0" w:rsidP="007E484D">
      <w:pPr>
        <w:spacing w:after="0" w:line="480" w:lineRule="auto"/>
        <w:jc w:val="center"/>
        <w:rPr>
          <w:rFonts w:ascii="Times New Roman" w:hAnsi="Times New Roman" w:cs="Times New Roman"/>
          <w:b/>
          <w:bCs/>
          <w:sz w:val="24"/>
          <w:szCs w:val="24"/>
        </w:rPr>
      </w:pPr>
    </w:p>
    <w:p w14:paraId="68D9ED15" w14:textId="77777777" w:rsidR="005D4AA0" w:rsidRDefault="005D4AA0" w:rsidP="007E484D">
      <w:pPr>
        <w:spacing w:after="0" w:line="480" w:lineRule="auto"/>
        <w:jc w:val="center"/>
        <w:rPr>
          <w:rFonts w:ascii="Times New Roman" w:hAnsi="Times New Roman" w:cs="Times New Roman"/>
          <w:b/>
          <w:bCs/>
          <w:sz w:val="24"/>
          <w:szCs w:val="24"/>
        </w:rPr>
      </w:pPr>
    </w:p>
    <w:p w14:paraId="5ED30C1A" w14:textId="77777777" w:rsidR="005D4AA0" w:rsidRDefault="005D4AA0" w:rsidP="007E484D">
      <w:pPr>
        <w:spacing w:after="0" w:line="480" w:lineRule="auto"/>
        <w:jc w:val="center"/>
        <w:rPr>
          <w:rFonts w:ascii="Times New Roman" w:hAnsi="Times New Roman" w:cs="Times New Roman"/>
          <w:b/>
          <w:bCs/>
          <w:sz w:val="24"/>
          <w:szCs w:val="24"/>
        </w:rPr>
      </w:pPr>
    </w:p>
    <w:p w14:paraId="2702EF92" w14:textId="775E2E4F" w:rsidR="005D4AA0" w:rsidRPr="007E484D" w:rsidRDefault="000778BA" w:rsidP="007E484D">
      <w:pPr>
        <w:spacing w:after="0" w:line="480" w:lineRule="auto"/>
        <w:jc w:val="center"/>
        <w:rPr>
          <w:rFonts w:ascii="Times New Roman" w:eastAsia="Calibri" w:hAnsi="Times New Roman" w:cs="Times New Roman"/>
          <w:sz w:val="24"/>
          <w:szCs w:val="24"/>
        </w:rPr>
      </w:pPr>
      <w:r w:rsidRPr="007E484D">
        <w:rPr>
          <w:rFonts w:ascii="Times New Roman" w:hAnsi="Times New Roman" w:cs="Times New Roman"/>
          <w:bCs/>
          <w:sz w:val="24"/>
          <w:szCs w:val="24"/>
        </w:rPr>
        <w:t>Monetary Policy</w:t>
      </w:r>
    </w:p>
    <w:p w14:paraId="1F5B04DF" w14:textId="36C10D3C" w:rsidR="005D4AA0" w:rsidRPr="005D4AA0" w:rsidRDefault="007E484D" w:rsidP="007E484D">
      <w:pPr>
        <w:spacing w:after="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Name</w:t>
      </w:r>
    </w:p>
    <w:p w14:paraId="01D69D35" w14:textId="77777777" w:rsidR="005D4AA0" w:rsidRPr="005D4AA0" w:rsidRDefault="005D4AA0" w:rsidP="007E484D">
      <w:pPr>
        <w:spacing w:after="0" w:line="480" w:lineRule="auto"/>
        <w:jc w:val="center"/>
        <w:rPr>
          <w:rFonts w:ascii="Times New Roman" w:eastAsia="Calibri" w:hAnsi="Times New Roman" w:cs="Times New Roman"/>
          <w:sz w:val="24"/>
          <w:szCs w:val="24"/>
        </w:rPr>
      </w:pPr>
      <w:r w:rsidRPr="005D4AA0">
        <w:rPr>
          <w:rFonts w:ascii="Times New Roman" w:eastAsia="Calibri" w:hAnsi="Times New Roman" w:cs="Times New Roman"/>
          <w:sz w:val="24"/>
          <w:szCs w:val="24"/>
        </w:rPr>
        <w:t>Institutional Affiliation</w:t>
      </w:r>
    </w:p>
    <w:p w14:paraId="13B304AA" w14:textId="77777777" w:rsidR="009E7B1E" w:rsidRDefault="009E7B1E" w:rsidP="007E484D">
      <w:pPr>
        <w:spacing w:after="0"/>
        <w:rPr>
          <w:rFonts w:ascii="Times New Roman" w:hAnsi="Times New Roman" w:cs="Times New Roman"/>
          <w:b/>
          <w:bCs/>
          <w:sz w:val="24"/>
          <w:szCs w:val="24"/>
        </w:rPr>
      </w:pPr>
      <w:r>
        <w:rPr>
          <w:rFonts w:ascii="Times New Roman" w:hAnsi="Times New Roman" w:cs="Times New Roman"/>
          <w:b/>
          <w:bCs/>
          <w:sz w:val="24"/>
          <w:szCs w:val="24"/>
        </w:rPr>
        <w:br w:type="page"/>
      </w:r>
    </w:p>
    <w:p w14:paraId="52152FDD" w14:textId="77777777" w:rsidR="00D93949" w:rsidRPr="00D93949" w:rsidRDefault="00D93949" w:rsidP="007E484D">
      <w:pPr>
        <w:spacing w:after="0"/>
        <w:jc w:val="center"/>
        <w:rPr>
          <w:rFonts w:ascii="Times New Roman" w:hAnsi="Times New Roman" w:cs="Times New Roman"/>
          <w:sz w:val="24"/>
          <w:szCs w:val="24"/>
        </w:rPr>
      </w:pPr>
      <w:bookmarkStart w:id="0" w:name="_GoBack"/>
      <w:r w:rsidRPr="00D93949">
        <w:rPr>
          <w:rFonts w:ascii="Times New Roman" w:hAnsi="Times New Roman" w:cs="Times New Roman"/>
          <w:sz w:val="24"/>
          <w:szCs w:val="24"/>
        </w:rPr>
        <w:lastRenderedPageBreak/>
        <w:t>Monetary Policy</w:t>
      </w:r>
    </w:p>
    <w:bookmarkEnd w:id="0"/>
    <w:p w14:paraId="11DA02A9" w14:textId="77777777" w:rsidR="00D93949" w:rsidRPr="00D93949" w:rsidRDefault="00D93949" w:rsidP="007E484D">
      <w:pPr>
        <w:spacing w:after="0" w:line="480" w:lineRule="auto"/>
        <w:ind w:firstLine="720"/>
        <w:rPr>
          <w:rFonts w:ascii="Times New Roman" w:hAnsi="Times New Roman" w:cs="Times New Roman"/>
          <w:sz w:val="24"/>
          <w:szCs w:val="24"/>
        </w:rPr>
      </w:pPr>
      <w:r w:rsidRPr="00D93949">
        <w:rPr>
          <w:rFonts w:ascii="Times New Roman" w:hAnsi="Times New Roman" w:cs="Times New Roman"/>
          <w:sz w:val="24"/>
          <w:szCs w:val="24"/>
        </w:rPr>
        <w:t xml:space="preserve">Congress has designated an obligation regarding money related strategy to the Federal Reserve (the Fed), the country's national bank (Bernanke, 2020). The Fed's command over the financial approach comes from its elite capacity to adjust the cash gracefully and credit conditions all the more extensively. Typically, the Fed conducts financial strategy by setting an objective for the government subsidizes rate, the rate at which banks obtain, and loan holds on a short-term premise. It meets its objective through open market activities, monetary exchanges generally including U.S. Depository protections </w:t>
      </w:r>
    </w:p>
    <w:p w14:paraId="73A4CAE8" w14:textId="77777777" w:rsidR="00D93949" w:rsidRPr="00D93949" w:rsidRDefault="00D93949" w:rsidP="007E484D">
      <w:pPr>
        <w:spacing w:after="0" w:line="480" w:lineRule="auto"/>
        <w:ind w:firstLine="720"/>
        <w:rPr>
          <w:rFonts w:ascii="Times New Roman" w:hAnsi="Times New Roman" w:cs="Times New Roman"/>
          <w:sz w:val="24"/>
          <w:szCs w:val="24"/>
        </w:rPr>
      </w:pPr>
      <w:r w:rsidRPr="00D93949">
        <w:rPr>
          <w:rFonts w:ascii="Times New Roman" w:hAnsi="Times New Roman" w:cs="Times New Roman"/>
          <w:sz w:val="24"/>
          <w:szCs w:val="24"/>
        </w:rPr>
        <w:t xml:space="preserve">The Fed impacts loan costs to influence premium delicate spending, for example, business capital spending on plant and gear, family unit spending on shopper durables, and private venture. Moreover, when financing costs separate between nations, it causes capital streams that influence the conversion scale between unfamiliar monetary standards and the dollar, which thus influences spending on fares and imports. Through these channels, the financial arrangement can be utilized to invigorate or slow total spending in the short run. Over the long haul, money related strategy for the most part influences swelling. A low and stable pace of swelling advances value straightforwardness and, accordingly, sounder monetary choices. </w:t>
      </w:r>
    </w:p>
    <w:p w14:paraId="14092B5B" w14:textId="77777777" w:rsidR="00D93949" w:rsidRPr="00D93949" w:rsidRDefault="00D93949" w:rsidP="007E484D">
      <w:pPr>
        <w:spacing w:after="0" w:line="480" w:lineRule="auto"/>
        <w:ind w:firstLine="720"/>
        <w:rPr>
          <w:rFonts w:ascii="Times New Roman" w:hAnsi="Times New Roman" w:cs="Times New Roman"/>
          <w:sz w:val="24"/>
          <w:szCs w:val="24"/>
        </w:rPr>
      </w:pPr>
      <w:r w:rsidRPr="00D93949">
        <w:rPr>
          <w:rFonts w:ascii="Times New Roman" w:hAnsi="Times New Roman" w:cs="Times New Roman"/>
          <w:sz w:val="24"/>
          <w:szCs w:val="24"/>
        </w:rPr>
        <w:t xml:space="preserve">The Fed's overall freedom from Congress and the Administration has been defended by numerous financial experts because it diminishes political strain to settle on money related strategy choices that are conflicting with a drawn-out spotlight on stable expansion. Be that as it may, autonomy diminishes responsibility to Congress and the Administration, and late analysis of the Fed by the President has brought up the issue about the best possible harmony between the two. </w:t>
      </w:r>
    </w:p>
    <w:p w14:paraId="3ED10C50" w14:textId="77777777" w:rsidR="00D93949" w:rsidRPr="00D93949" w:rsidRDefault="00D93949" w:rsidP="007E484D">
      <w:pPr>
        <w:spacing w:after="0" w:line="480" w:lineRule="auto"/>
        <w:ind w:firstLine="720"/>
        <w:rPr>
          <w:rFonts w:ascii="Times New Roman" w:hAnsi="Times New Roman" w:cs="Times New Roman"/>
          <w:sz w:val="24"/>
          <w:szCs w:val="24"/>
        </w:rPr>
      </w:pPr>
      <w:r w:rsidRPr="00D93949">
        <w:rPr>
          <w:rFonts w:ascii="Times New Roman" w:hAnsi="Times New Roman" w:cs="Times New Roman"/>
          <w:sz w:val="24"/>
          <w:szCs w:val="24"/>
        </w:rPr>
        <w:lastRenderedPageBreak/>
        <w:t>The Fed has the responsibility for the amount of borrowed money. This prevents exerting undue pressure on the future generation who are likely to experience a tough life if the trend of the national debt is not put under control. The future generation will be forced to pay the loan at the interest which means that the government will charge high interest on loans and mortgages thus making their life hard. Besides, high borrowing will slow the countries income growth. Notwithstanding the economic progress initiated by the borrowed money, the country risks experiencing underdevelopment in the future as it tries to repay the loan. Thus, the state will not be able to effectively respond to emergencies and recessions if at all they will occur.</w:t>
      </w:r>
    </w:p>
    <w:p w14:paraId="3F003934" w14:textId="51ED5AE7" w:rsidR="00D93949" w:rsidRPr="00D93949" w:rsidRDefault="00D93949" w:rsidP="007E484D">
      <w:pPr>
        <w:spacing w:after="0" w:line="480" w:lineRule="auto"/>
        <w:ind w:firstLine="720"/>
        <w:rPr>
          <w:rFonts w:ascii="Times New Roman" w:hAnsi="Times New Roman" w:cs="Times New Roman"/>
          <w:sz w:val="24"/>
          <w:szCs w:val="24"/>
        </w:rPr>
      </w:pPr>
      <w:r w:rsidRPr="00D93949">
        <w:rPr>
          <w:rFonts w:ascii="Times New Roman" w:hAnsi="Times New Roman" w:cs="Times New Roman"/>
          <w:sz w:val="24"/>
          <w:szCs w:val="24"/>
        </w:rPr>
        <w:t xml:space="preserve"> Government borrowing from private sectors is likely to crowd out the private sectors (Jarociński, and Karadi 2020). This is because the government demand for loans can increase the interest rates which in turn reduces investment spending. Households as well as private firms normally create an otherness between capital and private spending. For example, if a family borrows $5000 to go for a trip, the family does not gain physical assets that can be resold to repay the loan. Similarly, they have not gained any income-generating activities, and yet they have sunk into debts. On the other hand, if the family borrows $125000 and buys a condominium, the family not only cuts the cost of living but also gained an asset that can be resold in case the family is unable to repay the loan.</w:t>
      </w:r>
    </w:p>
    <w:p w14:paraId="0B9AB127" w14:textId="069F4CFF" w:rsidR="009E7B1E" w:rsidRDefault="00D93949" w:rsidP="007E484D">
      <w:pPr>
        <w:spacing w:after="0" w:line="480" w:lineRule="auto"/>
        <w:ind w:firstLine="720"/>
        <w:rPr>
          <w:rFonts w:ascii="Times New Roman" w:hAnsi="Times New Roman" w:cs="Times New Roman"/>
          <w:b/>
          <w:bCs/>
          <w:sz w:val="24"/>
          <w:szCs w:val="24"/>
        </w:rPr>
      </w:pPr>
      <w:r w:rsidRPr="00D93949">
        <w:rPr>
          <w:rFonts w:ascii="Times New Roman" w:hAnsi="Times New Roman" w:cs="Times New Roman"/>
          <w:sz w:val="24"/>
          <w:szCs w:val="24"/>
        </w:rPr>
        <w:t xml:space="preserve">The critics of the “new accounting” feel that how the government spends its money is not important. They feel that what is important is the amount spent by the government minus the total tax collected. This viewpoint seems contradictory but true. The government expenditure minus the total tax collected will indicate whether the state is sinking into debts or not. </w:t>
      </w:r>
      <w:r w:rsidR="009E7B1E">
        <w:rPr>
          <w:rFonts w:ascii="Times New Roman" w:hAnsi="Times New Roman" w:cs="Times New Roman"/>
          <w:b/>
          <w:bCs/>
          <w:sz w:val="24"/>
          <w:szCs w:val="24"/>
        </w:rPr>
        <w:br w:type="page"/>
      </w:r>
    </w:p>
    <w:p w14:paraId="42913089" w14:textId="0F9DBB06" w:rsidR="009E7B1E" w:rsidRPr="009E7B1E" w:rsidRDefault="009E7B1E" w:rsidP="007E484D">
      <w:pPr>
        <w:spacing w:after="0" w:line="480" w:lineRule="auto"/>
        <w:jc w:val="center"/>
        <w:rPr>
          <w:rFonts w:ascii="Times New Roman" w:hAnsi="Times New Roman" w:cs="Times New Roman"/>
          <w:sz w:val="24"/>
          <w:szCs w:val="24"/>
        </w:rPr>
      </w:pPr>
      <w:r w:rsidRPr="009E7B1E">
        <w:rPr>
          <w:rFonts w:ascii="Times New Roman" w:hAnsi="Times New Roman" w:cs="Times New Roman"/>
          <w:sz w:val="24"/>
          <w:szCs w:val="24"/>
        </w:rPr>
        <w:lastRenderedPageBreak/>
        <w:t>References</w:t>
      </w:r>
    </w:p>
    <w:p w14:paraId="311C9937" w14:textId="4D06E178" w:rsidR="009E7B1E" w:rsidRDefault="009E7B1E" w:rsidP="007E484D">
      <w:pPr>
        <w:spacing w:after="0" w:line="480" w:lineRule="auto"/>
        <w:ind w:left="720" w:hanging="720"/>
        <w:rPr>
          <w:rFonts w:ascii="Times New Roman" w:hAnsi="Times New Roman" w:cs="Times New Roman"/>
          <w:sz w:val="24"/>
          <w:szCs w:val="24"/>
        </w:rPr>
      </w:pPr>
      <w:r w:rsidRPr="009E7B1E">
        <w:rPr>
          <w:rFonts w:ascii="Times New Roman" w:hAnsi="Times New Roman" w:cs="Times New Roman"/>
          <w:sz w:val="24"/>
          <w:szCs w:val="24"/>
        </w:rPr>
        <w:t>Bernanke, B. S. (2020). The new tools of monetary policy. </w:t>
      </w:r>
      <w:r w:rsidRPr="009E7B1E">
        <w:rPr>
          <w:rFonts w:ascii="Times New Roman" w:hAnsi="Times New Roman" w:cs="Times New Roman"/>
          <w:i/>
          <w:iCs/>
          <w:sz w:val="24"/>
          <w:szCs w:val="24"/>
        </w:rPr>
        <w:t>American Economic Review</w:t>
      </w:r>
      <w:r w:rsidRPr="009E7B1E">
        <w:rPr>
          <w:rFonts w:ascii="Times New Roman" w:hAnsi="Times New Roman" w:cs="Times New Roman"/>
          <w:sz w:val="24"/>
          <w:szCs w:val="24"/>
        </w:rPr>
        <w:t>, </w:t>
      </w:r>
      <w:r w:rsidRPr="009E7B1E">
        <w:rPr>
          <w:rFonts w:ascii="Times New Roman" w:hAnsi="Times New Roman" w:cs="Times New Roman"/>
          <w:i/>
          <w:iCs/>
          <w:sz w:val="24"/>
          <w:szCs w:val="24"/>
        </w:rPr>
        <w:t>110</w:t>
      </w:r>
      <w:r w:rsidRPr="009E7B1E">
        <w:rPr>
          <w:rFonts w:ascii="Times New Roman" w:hAnsi="Times New Roman" w:cs="Times New Roman"/>
          <w:sz w:val="24"/>
          <w:szCs w:val="24"/>
        </w:rPr>
        <w:t>(4), 943-83.</w:t>
      </w:r>
    </w:p>
    <w:p w14:paraId="1C04A4CB" w14:textId="697BBEBC" w:rsidR="009E7B1E" w:rsidRPr="009E7B1E" w:rsidRDefault="009E7B1E" w:rsidP="007E484D">
      <w:pPr>
        <w:spacing w:after="0" w:line="480" w:lineRule="auto"/>
        <w:ind w:left="720" w:hanging="720"/>
        <w:rPr>
          <w:rFonts w:ascii="Times New Roman" w:hAnsi="Times New Roman" w:cs="Times New Roman"/>
          <w:sz w:val="24"/>
          <w:szCs w:val="24"/>
        </w:rPr>
      </w:pPr>
      <w:r w:rsidRPr="009E7B1E">
        <w:rPr>
          <w:rFonts w:ascii="Times New Roman" w:hAnsi="Times New Roman" w:cs="Times New Roman"/>
          <w:sz w:val="24"/>
          <w:szCs w:val="24"/>
        </w:rPr>
        <w:t>Jarociński, M., &amp; Karadi, P. (2020). Deconstructing monetary policy surprises—the role of information shocks. </w:t>
      </w:r>
      <w:r w:rsidRPr="009E7B1E">
        <w:rPr>
          <w:rFonts w:ascii="Times New Roman" w:hAnsi="Times New Roman" w:cs="Times New Roman"/>
          <w:i/>
          <w:iCs/>
          <w:sz w:val="24"/>
          <w:szCs w:val="24"/>
        </w:rPr>
        <w:t>American Economic Journal: Macroeconomics</w:t>
      </w:r>
      <w:r w:rsidRPr="009E7B1E">
        <w:rPr>
          <w:rFonts w:ascii="Times New Roman" w:hAnsi="Times New Roman" w:cs="Times New Roman"/>
          <w:sz w:val="24"/>
          <w:szCs w:val="24"/>
        </w:rPr>
        <w:t>, </w:t>
      </w:r>
      <w:r w:rsidRPr="009E7B1E">
        <w:rPr>
          <w:rFonts w:ascii="Times New Roman" w:hAnsi="Times New Roman" w:cs="Times New Roman"/>
          <w:i/>
          <w:iCs/>
          <w:sz w:val="24"/>
          <w:szCs w:val="24"/>
        </w:rPr>
        <w:t>12</w:t>
      </w:r>
      <w:r w:rsidRPr="009E7B1E">
        <w:rPr>
          <w:rFonts w:ascii="Times New Roman" w:hAnsi="Times New Roman" w:cs="Times New Roman"/>
          <w:sz w:val="24"/>
          <w:szCs w:val="24"/>
        </w:rPr>
        <w:t>(2), 1-43.</w:t>
      </w:r>
    </w:p>
    <w:p w14:paraId="223DE268" w14:textId="4AFDA1F7" w:rsidR="001E5441" w:rsidRPr="000778BA" w:rsidRDefault="001E5441" w:rsidP="007E484D">
      <w:pPr>
        <w:spacing w:after="0" w:line="480" w:lineRule="auto"/>
        <w:ind w:firstLine="720"/>
        <w:rPr>
          <w:rFonts w:ascii="Times New Roman" w:hAnsi="Times New Roman" w:cs="Times New Roman"/>
          <w:sz w:val="24"/>
          <w:szCs w:val="24"/>
        </w:rPr>
      </w:pPr>
    </w:p>
    <w:sectPr w:rsidR="001E5441" w:rsidRPr="000778B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2F3148" w14:textId="77777777" w:rsidR="00D02446" w:rsidRDefault="00D02446" w:rsidP="005D4AA0">
      <w:pPr>
        <w:spacing w:after="0" w:line="240" w:lineRule="auto"/>
      </w:pPr>
      <w:r>
        <w:separator/>
      </w:r>
    </w:p>
  </w:endnote>
  <w:endnote w:type="continuationSeparator" w:id="0">
    <w:p w14:paraId="29971CF8" w14:textId="77777777" w:rsidR="00D02446" w:rsidRDefault="00D02446" w:rsidP="005D4A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D677BB" w14:textId="77777777" w:rsidR="00D02446" w:rsidRDefault="00D02446" w:rsidP="005D4AA0">
      <w:pPr>
        <w:spacing w:after="0" w:line="240" w:lineRule="auto"/>
      </w:pPr>
      <w:r>
        <w:separator/>
      </w:r>
    </w:p>
  </w:footnote>
  <w:footnote w:type="continuationSeparator" w:id="0">
    <w:p w14:paraId="5BE846BC" w14:textId="77777777" w:rsidR="00D02446" w:rsidRDefault="00D02446" w:rsidP="005D4A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AF0E6" w14:textId="53D203E0" w:rsidR="005D4AA0" w:rsidRPr="009E7B1E" w:rsidRDefault="005D4AA0" w:rsidP="009E7B1E">
    <w:pPr>
      <w:pStyle w:val="Header"/>
      <w:rPr>
        <w:rFonts w:ascii="Times New Roman" w:hAnsi="Times New Roman" w:cs="Times New Roman"/>
        <w:sz w:val="24"/>
        <w:szCs w:val="24"/>
      </w:rPr>
    </w:pPr>
    <w:r w:rsidRPr="009E7B1E">
      <w:rPr>
        <w:rFonts w:ascii="Times New Roman" w:hAnsi="Times New Roman" w:cs="Times New Roman"/>
        <w:sz w:val="24"/>
        <w:szCs w:val="24"/>
      </w:rPr>
      <w:t>MONETARY POLICY</w:t>
    </w:r>
    <w:sdt>
      <w:sdtPr>
        <w:rPr>
          <w:rFonts w:ascii="Times New Roman" w:hAnsi="Times New Roman" w:cs="Times New Roman"/>
          <w:sz w:val="24"/>
          <w:szCs w:val="24"/>
        </w:rPr>
        <w:id w:val="847986500"/>
        <w:docPartObj>
          <w:docPartGallery w:val="Page Numbers (Top of Page)"/>
          <w:docPartUnique/>
        </w:docPartObj>
      </w:sdtPr>
      <w:sdtEndPr>
        <w:rPr>
          <w:noProof/>
        </w:rPr>
      </w:sdtEndPr>
      <w:sdtContent>
        <w:r w:rsidR="009E7B1E">
          <w:rPr>
            <w:rFonts w:ascii="Times New Roman" w:hAnsi="Times New Roman" w:cs="Times New Roman"/>
            <w:sz w:val="24"/>
            <w:szCs w:val="24"/>
          </w:rPr>
          <w:t xml:space="preserve"> </w:t>
        </w:r>
        <w:r w:rsidR="009E7B1E">
          <w:rPr>
            <w:rFonts w:ascii="Times New Roman" w:hAnsi="Times New Roman" w:cs="Times New Roman"/>
            <w:sz w:val="24"/>
            <w:szCs w:val="24"/>
          </w:rPr>
          <w:tab/>
        </w:r>
        <w:r w:rsidR="009E7B1E">
          <w:rPr>
            <w:rFonts w:ascii="Times New Roman" w:hAnsi="Times New Roman" w:cs="Times New Roman"/>
            <w:sz w:val="24"/>
            <w:szCs w:val="24"/>
          </w:rPr>
          <w:tab/>
        </w:r>
        <w:r w:rsidRPr="009E7B1E">
          <w:rPr>
            <w:rFonts w:ascii="Times New Roman" w:hAnsi="Times New Roman" w:cs="Times New Roman"/>
            <w:sz w:val="24"/>
            <w:szCs w:val="24"/>
          </w:rPr>
          <w:fldChar w:fldCharType="begin"/>
        </w:r>
        <w:r w:rsidRPr="009E7B1E">
          <w:rPr>
            <w:rFonts w:ascii="Times New Roman" w:hAnsi="Times New Roman" w:cs="Times New Roman"/>
            <w:sz w:val="24"/>
            <w:szCs w:val="24"/>
          </w:rPr>
          <w:instrText xml:space="preserve"> PAGE   \* MERGEFORMAT </w:instrText>
        </w:r>
        <w:r w:rsidRPr="009E7B1E">
          <w:rPr>
            <w:rFonts w:ascii="Times New Roman" w:hAnsi="Times New Roman" w:cs="Times New Roman"/>
            <w:sz w:val="24"/>
            <w:szCs w:val="24"/>
          </w:rPr>
          <w:fldChar w:fldCharType="separate"/>
        </w:r>
        <w:r w:rsidR="007E484D">
          <w:rPr>
            <w:rFonts w:ascii="Times New Roman" w:hAnsi="Times New Roman" w:cs="Times New Roman"/>
            <w:noProof/>
            <w:sz w:val="24"/>
            <w:szCs w:val="24"/>
          </w:rPr>
          <w:t>2</w:t>
        </w:r>
        <w:r w:rsidRPr="009E7B1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B0F"/>
    <w:rsid w:val="000778BA"/>
    <w:rsid w:val="00101D01"/>
    <w:rsid w:val="001E5441"/>
    <w:rsid w:val="00235B0F"/>
    <w:rsid w:val="00247C34"/>
    <w:rsid w:val="003C4B39"/>
    <w:rsid w:val="005D4AA0"/>
    <w:rsid w:val="007E484D"/>
    <w:rsid w:val="00816359"/>
    <w:rsid w:val="009E7B1E"/>
    <w:rsid w:val="00A15F33"/>
    <w:rsid w:val="00D02446"/>
    <w:rsid w:val="00D93949"/>
    <w:rsid w:val="00DD7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F0399"/>
  <w15:chartTrackingRefBased/>
  <w15:docId w15:val="{81360045-EA68-489E-980C-81EFD7D21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4A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4AA0"/>
  </w:style>
  <w:style w:type="paragraph" w:styleId="Footer">
    <w:name w:val="footer"/>
    <w:basedOn w:val="Normal"/>
    <w:link w:val="FooterChar"/>
    <w:uiPriority w:val="99"/>
    <w:unhideWhenUsed/>
    <w:rsid w:val="005D4A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4A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Muriu</dc:creator>
  <cp:keywords/>
  <dc:description/>
  <cp:lastModifiedBy>user</cp:lastModifiedBy>
  <cp:revision>2</cp:revision>
  <dcterms:created xsi:type="dcterms:W3CDTF">2020-10-26T03:22:00Z</dcterms:created>
  <dcterms:modified xsi:type="dcterms:W3CDTF">2020-10-26T03:22:00Z</dcterms:modified>
</cp:coreProperties>
</file>